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5C" w:rsidRDefault="0048765C" w:rsidP="0048765C">
      <w:pPr>
        <w:pStyle w:val="BodyText"/>
      </w:pPr>
    </w:p>
    <w:p w:rsidR="0048765C" w:rsidRPr="00ED284D" w:rsidRDefault="0048765C" w:rsidP="0048765C">
      <w:pPr>
        <w:pStyle w:val="BodyText"/>
        <w:spacing w:before="8"/>
        <w:jc w:val="center"/>
        <w:rPr>
          <w:rFonts w:ascii="Caudex" w:hAnsi="Caudex"/>
          <w:sz w:val="44"/>
          <w:szCs w:val="44"/>
        </w:rPr>
      </w:pPr>
      <w:r w:rsidRPr="00ED284D">
        <w:rPr>
          <w:rFonts w:ascii="Caudex" w:hAnsi="Caudex"/>
          <w:sz w:val="44"/>
          <w:szCs w:val="44"/>
        </w:rPr>
        <w:t>Booking Terms and Conditions</w:t>
      </w:r>
    </w:p>
    <w:p w:rsidR="0048765C" w:rsidRPr="00ED284D" w:rsidRDefault="0048765C" w:rsidP="0048765C">
      <w:pPr>
        <w:widowControl/>
        <w:autoSpaceDE/>
        <w:autoSpaceDN/>
        <w:rPr>
          <w:rFonts w:ascii="Caudex" w:hAnsi="Caudex"/>
          <w:sz w:val="25"/>
        </w:rPr>
        <w:sectPr w:rsidR="0048765C" w:rsidRPr="00ED284D" w:rsidSect="00ED284D">
          <w:pgSz w:w="16840" w:h="11910" w:orient="landscape"/>
          <w:pgMar w:top="0" w:right="380" w:bottom="800" w:left="60" w:header="720" w:footer="720" w:gutter="0"/>
          <w:cols w:space="720"/>
          <w:docGrid w:linePitch="299"/>
        </w:sectPr>
      </w:pPr>
      <w:r w:rsidRPr="00ED284D">
        <w:rPr>
          <w:rFonts w:ascii="Caudex" w:hAnsi="Caudex"/>
          <w:noProof/>
          <w:sz w:val="25"/>
          <w:lang w:bidi="ar-SA"/>
        </w:rPr>
        <w:drawing>
          <wp:anchor distT="0" distB="0" distL="0" distR="0" simplePos="0" relativeHeight="251659264" behindDoc="1" locked="0" layoutInCell="1" allowOverlap="1">
            <wp:simplePos x="0" y="0"/>
            <wp:positionH relativeFrom="page">
              <wp:posOffset>1879600</wp:posOffset>
            </wp:positionH>
            <wp:positionV relativeFrom="paragraph">
              <wp:posOffset>-1331595</wp:posOffset>
            </wp:positionV>
            <wp:extent cx="7181850" cy="609600"/>
            <wp:effectExtent l="19050" t="0" r="0"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5" cstate="print"/>
                    <a:srcRect/>
                    <a:stretch>
                      <a:fillRect/>
                    </a:stretch>
                  </pic:blipFill>
                  <pic:spPr bwMode="auto">
                    <a:xfrm>
                      <a:off x="0" y="0"/>
                      <a:ext cx="7181215" cy="609600"/>
                    </a:xfrm>
                    <a:prstGeom prst="rect">
                      <a:avLst/>
                    </a:prstGeom>
                    <a:noFill/>
                  </pic:spPr>
                </pic:pic>
              </a:graphicData>
            </a:graphic>
          </wp:anchor>
        </w:drawing>
      </w:r>
    </w:p>
    <w:p w:rsidR="0048765C" w:rsidRPr="00ED284D" w:rsidRDefault="0048765C" w:rsidP="0048765C">
      <w:pPr>
        <w:pStyle w:val="Heading2"/>
        <w:numPr>
          <w:ilvl w:val="0"/>
          <w:numId w:val="1"/>
        </w:numPr>
        <w:tabs>
          <w:tab w:val="left" w:pos="312"/>
        </w:tabs>
        <w:spacing w:before="59"/>
        <w:rPr>
          <w:rFonts w:ascii="Caudex" w:hAnsi="Caudex"/>
          <w:sz w:val="22"/>
          <w:szCs w:val="22"/>
        </w:rPr>
      </w:pPr>
      <w:r w:rsidRPr="00ED284D">
        <w:rPr>
          <w:rFonts w:ascii="Caudex" w:hAnsi="Caudex"/>
          <w:sz w:val="22"/>
          <w:szCs w:val="22"/>
        </w:rPr>
        <w:lastRenderedPageBreak/>
        <w:t>Confirmation</w:t>
      </w:r>
    </w:p>
    <w:p w:rsidR="0048765C" w:rsidRPr="00ED284D" w:rsidRDefault="0048765C" w:rsidP="0048765C">
      <w:pPr>
        <w:spacing w:before="121"/>
        <w:ind w:left="112" w:right="49"/>
        <w:rPr>
          <w:rFonts w:ascii="Caudex" w:hAnsi="Caudex"/>
        </w:rPr>
      </w:pPr>
      <w:r w:rsidRPr="00ED284D">
        <w:rPr>
          <w:rFonts w:ascii="Caudex" w:hAnsi="Caudex"/>
        </w:rPr>
        <w:t>Following your initial inquiry a booking form will be populated with all your initial requirements – Dates, Times, Numbers, Food and beverage requirements etc.</w:t>
      </w:r>
    </w:p>
    <w:p w:rsidR="0048765C" w:rsidRPr="00ED284D" w:rsidRDefault="0048765C" w:rsidP="0048765C">
      <w:pPr>
        <w:spacing w:before="120"/>
        <w:ind w:left="112" w:right="49"/>
        <w:rPr>
          <w:rFonts w:ascii="Caudex" w:hAnsi="Caudex"/>
        </w:rPr>
      </w:pPr>
      <w:r w:rsidRPr="00ED284D">
        <w:rPr>
          <w:rFonts w:ascii="Caudex" w:hAnsi="Caudex"/>
        </w:rPr>
        <w:t xml:space="preserve">All provisional bookings will be held for </w:t>
      </w:r>
      <w:r w:rsidRPr="00ED284D">
        <w:rPr>
          <w:rFonts w:ascii="Caudex" w:hAnsi="Caudex"/>
          <w:i/>
        </w:rPr>
        <w:t xml:space="preserve">14 days </w:t>
      </w:r>
      <w:r w:rsidRPr="00ED284D">
        <w:rPr>
          <w:rFonts w:ascii="Caudex" w:hAnsi="Caudex"/>
        </w:rPr>
        <w:t>then automatically cancelled unless a letter / email of confirmation is received along with the appropriate non-refundable deposit.</w:t>
      </w:r>
    </w:p>
    <w:p w:rsidR="0048765C" w:rsidRPr="00ED284D" w:rsidRDefault="0048765C" w:rsidP="0048765C">
      <w:pPr>
        <w:spacing w:before="119"/>
        <w:ind w:left="112" w:right="49"/>
        <w:rPr>
          <w:rFonts w:ascii="Caudex" w:hAnsi="Caudex"/>
        </w:rPr>
      </w:pPr>
      <w:r w:rsidRPr="00ED284D">
        <w:rPr>
          <w:rFonts w:ascii="Caudex" w:hAnsi="Caudex"/>
        </w:rPr>
        <w:t xml:space="preserve">A Written Confirmation of the booking and your requirements will then be issued. Please inform us as soon as possible if </w:t>
      </w:r>
      <w:proofErr w:type="gramStart"/>
      <w:r w:rsidRPr="00ED284D">
        <w:rPr>
          <w:rFonts w:ascii="Caudex" w:hAnsi="Caudex"/>
        </w:rPr>
        <w:t>your</w:t>
      </w:r>
      <w:proofErr w:type="gramEnd"/>
      <w:r w:rsidRPr="00ED284D">
        <w:rPr>
          <w:rFonts w:ascii="Caudex" w:hAnsi="Caudex"/>
        </w:rPr>
        <w:t xml:space="preserve"> booking requirements change or differ from this confirmation.</w:t>
      </w:r>
    </w:p>
    <w:p w:rsidR="0048765C" w:rsidRPr="00ED284D" w:rsidRDefault="0048765C" w:rsidP="0048765C">
      <w:pPr>
        <w:spacing w:before="123"/>
        <w:ind w:left="112"/>
        <w:rPr>
          <w:rFonts w:ascii="Caudex" w:hAnsi="Caudex"/>
        </w:rPr>
      </w:pPr>
      <w:r w:rsidRPr="00ED284D">
        <w:rPr>
          <w:rFonts w:ascii="Caudex" w:hAnsi="Caudex"/>
        </w:rPr>
        <w:t>All prices are subject to change without notice 30 days prior to the event unless previously confirmed in writing VAT at the current rate is included in the price.</w:t>
      </w:r>
    </w:p>
    <w:p w:rsidR="0048765C" w:rsidRPr="00ED284D" w:rsidRDefault="0048765C" w:rsidP="0048765C">
      <w:pPr>
        <w:pStyle w:val="BodyText"/>
        <w:spacing w:before="6"/>
        <w:rPr>
          <w:rFonts w:ascii="Caudex" w:hAnsi="Caudex"/>
          <w:sz w:val="22"/>
          <w:szCs w:val="22"/>
        </w:rPr>
      </w:pPr>
    </w:p>
    <w:p w:rsidR="0048765C" w:rsidRPr="00ED284D" w:rsidRDefault="0048765C" w:rsidP="0048765C">
      <w:pPr>
        <w:pStyle w:val="Heading2"/>
        <w:numPr>
          <w:ilvl w:val="0"/>
          <w:numId w:val="1"/>
        </w:numPr>
        <w:tabs>
          <w:tab w:val="left" w:pos="312"/>
        </w:tabs>
        <w:rPr>
          <w:rFonts w:ascii="Caudex" w:hAnsi="Caudex"/>
          <w:sz w:val="22"/>
          <w:szCs w:val="22"/>
        </w:rPr>
      </w:pPr>
      <w:r w:rsidRPr="00ED284D">
        <w:rPr>
          <w:rFonts w:ascii="Caudex" w:hAnsi="Caudex"/>
          <w:sz w:val="22"/>
          <w:szCs w:val="22"/>
        </w:rPr>
        <w:t>Payments and Food</w:t>
      </w:r>
      <w:r w:rsidRPr="00ED284D">
        <w:rPr>
          <w:rFonts w:ascii="Caudex" w:hAnsi="Caudex"/>
          <w:spacing w:val="-1"/>
          <w:sz w:val="22"/>
          <w:szCs w:val="22"/>
        </w:rPr>
        <w:t xml:space="preserve"> </w:t>
      </w:r>
      <w:r w:rsidRPr="00ED284D">
        <w:rPr>
          <w:rFonts w:ascii="Caudex" w:hAnsi="Caudex"/>
          <w:sz w:val="22"/>
          <w:szCs w:val="22"/>
        </w:rPr>
        <w:t>Requirements</w:t>
      </w:r>
    </w:p>
    <w:p w:rsidR="0048765C" w:rsidRPr="00ED284D" w:rsidRDefault="0048765C" w:rsidP="0048765C">
      <w:pPr>
        <w:spacing w:before="120" w:line="372" w:lineRule="auto"/>
        <w:ind w:left="112" w:right="1404"/>
        <w:rPr>
          <w:rFonts w:ascii="Caudex" w:hAnsi="Caudex"/>
        </w:rPr>
      </w:pPr>
      <w:r w:rsidRPr="00ED284D">
        <w:rPr>
          <w:rFonts w:ascii="Caudex" w:hAnsi="Caudex"/>
        </w:rPr>
        <w:t xml:space="preserve">Full payment of the function </w:t>
      </w:r>
      <w:r w:rsidRPr="00ED284D">
        <w:rPr>
          <w:rFonts w:ascii="Caudex" w:hAnsi="Caudex"/>
          <w:b/>
          <w:i/>
        </w:rPr>
        <w:t>must be made 7 Days prior to the date of your booking</w:t>
      </w:r>
      <w:r w:rsidRPr="00ED284D">
        <w:rPr>
          <w:rFonts w:ascii="Caudex" w:hAnsi="Caudex"/>
        </w:rPr>
        <w:t>. We will also need final numbers for any catering requirements 7 Days before.</w:t>
      </w:r>
    </w:p>
    <w:p w:rsidR="0048765C" w:rsidRPr="00ED284D" w:rsidRDefault="0048765C" w:rsidP="0048765C">
      <w:pPr>
        <w:spacing w:line="218" w:lineRule="exact"/>
        <w:ind w:left="112"/>
        <w:rPr>
          <w:rFonts w:ascii="Caudex" w:hAnsi="Caudex"/>
        </w:rPr>
      </w:pPr>
      <w:r w:rsidRPr="00ED284D">
        <w:rPr>
          <w:rFonts w:ascii="Caudex" w:hAnsi="Caudex"/>
        </w:rPr>
        <w:t xml:space="preserve">Payments can be made by credit or debit card, </w:t>
      </w:r>
      <w:proofErr w:type="spellStart"/>
      <w:r w:rsidRPr="00ED284D">
        <w:rPr>
          <w:rFonts w:ascii="Caudex" w:hAnsi="Caudex"/>
        </w:rPr>
        <w:t>cash</w:t>
      </w:r>
      <w:proofErr w:type="gramStart"/>
      <w:r w:rsidRPr="00ED284D">
        <w:rPr>
          <w:rFonts w:ascii="Caudex" w:hAnsi="Caudex"/>
        </w:rPr>
        <w:t>,cheque</w:t>
      </w:r>
      <w:proofErr w:type="spellEnd"/>
      <w:proofErr w:type="gramEnd"/>
      <w:r w:rsidRPr="00ED284D">
        <w:rPr>
          <w:rFonts w:ascii="Caudex" w:hAnsi="Caudex"/>
        </w:rPr>
        <w:t xml:space="preserve"> or Bank Transfer</w:t>
      </w:r>
    </w:p>
    <w:p w:rsidR="0048765C" w:rsidRPr="00ED284D" w:rsidRDefault="0048765C" w:rsidP="0048765C">
      <w:pPr>
        <w:pStyle w:val="BodyText"/>
        <w:spacing w:before="6"/>
        <w:rPr>
          <w:rFonts w:ascii="Caudex" w:hAnsi="Caudex"/>
          <w:sz w:val="22"/>
          <w:szCs w:val="22"/>
        </w:rPr>
      </w:pPr>
    </w:p>
    <w:p w:rsidR="0048765C" w:rsidRPr="00ED284D" w:rsidRDefault="0048765C" w:rsidP="0048765C">
      <w:pPr>
        <w:pStyle w:val="Heading2"/>
        <w:numPr>
          <w:ilvl w:val="0"/>
          <w:numId w:val="1"/>
        </w:numPr>
        <w:tabs>
          <w:tab w:val="left" w:pos="311"/>
        </w:tabs>
        <w:ind w:left="310" w:hanging="199"/>
        <w:jc w:val="both"/>
        <w:rPr>
          <w:rFonts w:ascii="Caudex" w:hAnsi="Caudex"/>
          <w:sz w:val="22"/>
          <w:szCs w:val="22"/>
        </w:rPr>
      </w:pPr>
      <w:r w:rsidRPr="00ED284D">
        <w:rPr>
          <w:rFonts w:ascii="Caudex" w:hAnsi="Caudex"/>
          <w:sz w:val="22"/>
          <w:szCs w:val="22"/>
        </w:rPr>
        <w:t>Cancellation by</w:t>
      </w:r>
      <w:r w:rsidRPr="00ED284D">
        <w:rPr>
          <w:rFonts w:ascii="Caudex" w:hAnsi="Caudex"/>
          <w:spacing w:val="-3"/>
          <w:sz w:val="22"/>
          <w:szCs w:val="22"/>
        </w:rPr>
        <w:t xml:space="preserve"> </w:t>
      </w:r>
      <w:r w:rsidRPr="00ED284D">
        <w:rPr>
          <w:rFonts w:ascii="Caudex" w:hAnsi="Caudex"/>
          <w:sz w:val="22"/>
          <w:szCs w:val="22"/>
        </w:rPr>
        <w:t>Client</w:t>
      </w:r>
    </w:p>
    <w:p w:rsidR="0048765C" w:rsidRPr="00ED284D" w:rsidRDefault="0048765C" w:rsidP="0048765C">
      <w:pPr>
        <w:spacing w:before="121"/>
        <w:ind w:left="112" w:right="58"/>
        <w:jc w:val="both"/>
        <w:rPr>
          <w:rFonts w:ascii="Caudex" w:hAnsi="Caudex"/>
        </w:rPr>
      </w:pPr>
      <w:r w:rsidRPr="00ED284D">
        <w:rPr>
          <w:rFonts w:ascii="Caudex" w:hAnsi="Caudex"/>
        </w:rPr>
        <w:t>In the event of cancellation by the Client less than 12 months in advance, Pendle Heritage Centre reserves the right to</w:t>
      </w:r>
      <w:r w:rsidRPr="00ED284D">
        <w:rPr>
          <w:rFonts w:ascii="Caudex" w:hAnsi="Caudex"/>
          <w:spacing w:val="-2"/>
        </w:rPr>
        <w:t xml:space="preserve"> </w:t>
      </w:r>
      <w:r w:rsidRPr="00ED284D">
        <w:rPr>
          <w:rFonts w:ascii="Caudex" w:hAnsi="Caudex"/>
        </w:rPr>
        <w:t>claim</w:t>
      </w:r>
      <w:r w:rsidRPr="00ED284D">
        <w:rPr>
          <w:rFonts w:ascii="Caudex" w:hAnsi="Caudex"/>
          <w:spacing w:val="-2"/>
        </w:rPr>
        <w:t xml:space="preserve"> </w:t>
      </w:r>
      <w:r w:rsidRPr="00ED284D">
        <w:rPr>
          <w:rFonts w:ascii="Caudex" w:hAnsi="Caudex"/>
        </w:rPr>
        <w:t>the</w:t>
      </w:r>
      <w:r w:rsidRPr="00ED284D">
        <w:rPr>
          <w:rFonts w:ascii="Caudex" w:hAnsi="Caudex"/>
          <w:spacing w:val="-2"/>
        </w:rPr>
        <w:t xml:space="preserve"> </w:t>
      </w:r>
      <w:r w:rsidRPr="00ED284D">
        <w:rPr>
          <w:rFonts w:ascii="Caudex" w:hAnsi="Caudex"/>
        </w:rPr>
        <w:t>following</w:t>
      </w:r>
      <w:r w:rsidRPr="00ED284D">
        <w:rPr>
          <w:rFonts w:ascii="Caudex" w:hAnsi="Caudex"/>
          <w:spacing w:val="-2"/>
        </w:rPr>
        <w:t xml:space="preserve"> </w:t>
      </w:r>
      <w:r w:rsidRPr="00ED284D">
        <w:rPr>
          <w:rFonts w:ascii="Caudex" w:hAnsi="Caudex"/>
        </w:rPr>
        <w:t>sums,</w:t>
      </w:r>
      <w:r w:rsidRPr="00ED284D">
        <w:rPr>
          <w:rFonts w:ascii="Caudex" w:hAnsi="Caudex"/>
          <w:spacing w:val="-1"/>
        </w:rPr>
        <w:t xml:space="preserve"> </w:t>
      </w:r>
      <w:r w:rsidRPr="00ED284D">
        <w:rPr>
          <w:rFonts w:ascii="Caudex" w:hAnsi="Caudex"/>
        </w:rPr>
        <w:t>unless</w:t>
      </w:r>
      <w:r w:rsidRPr="00ED284D">
        <w:rPr>
          <w:rFonts w:ascii="Caudex" w:hAnsi="Caudex"/>
          <w:spacing w:val="-2"/>
        </w:rPr>
        <w:t xml:space="preserve"> </w:t>
      </w:r>
      <w:r w:rsidRPr="00ED284D">
        <w:rPr>
          <w:rFonts w:ascii="Caudex" w:hAnsi="Caudex"/>
        </w:rPr>
        <w:t>a</w:t>
      </w:r>
      <w:r w:rsidRPr="00ED284D">
        <w:rPr>
          <w:rFonts w:ascii="Caudex" w:hAnsi="Caudex"/>
          <w:spacing w:val="-3"/>
        </w:rPr>
        <w:t xml:space="preserve"> </w:t>
      </w:r>
      <w:r w:rsidRPr="00ED284D">
        <w:rPr>
          <w:rFonts w:ascii="Caudex" w:hAnsi="Caudex"/>
        </w:rPr>
        <w:t>booking</w:t>
      </w:r>
      <w:r w:rsidRPr="00ED284D">
        <w:rPr>
          <w:rFonts w:ascii="Caudex" w:hAnsi="Caudex"/>
          <w:spacing w:val="-2"/>
        </w:rPr>
        <w:t xml:space="preserve"> </w:t>
      </w:r>
      <w:r w:rsidRPr="00ED284D">
        <w:rPr>
          <w:rFonts w:ascii="Caudex" w:hAnsi="Caudex"/>
        </w:rPr>
        <w:t>is</w:t>
      </w:r>
      <w:r w:rsidRPr="00ED284D">
        <w:rPr>
          <w:rFonts w:ascii="Caudex" w:hAnsi="Caudex"/>
          <w:spacing w:val="-2"/>
        </w:rPr>
        <w:t xml:space="preserve"> </w:t>
      </w:r>
      <w:r w:rsidRPr="00ED284D">
        <w:rPr>
          <w:rFonts w:ascii="Caudex" w:hAnsi="Caudex"/>
        </w:rPr>
        <w:t>obtained</w:t>
      </w:r>
      <w:r w:rsidRPr="00ED284D">
        <w:rPr>
          <w:rFonts w:ascii="Caudex" w:hAnsi="Caudex"/>
          <w:spacing w:val="-2"/>
        </w:rPr>
        <w:t xml:space="preserve"> </w:t>
      </w:r>
      <w:r w:rsidRPr="00ED284D">
        <w:rPr>
          <w:rFonts w:ascii="Caudex" w:hAnsi="Caudex"/>
        </w:rPr>
        <w:t>for</w:t>
      </w:r>
      <w:r w:rsidRPr="00ED284D">
        <w:rPr>
          <w:rFonts w:ascii="Caudex" w:hAnsi="Caudex"/>
          <w:spacing w:val="-1"/>
        </w:rPr>
        <w:t xml:space="preserve"> </w:t>
      </w:r>
      <w:r w:rsidRPr="00ED284D">
        <w:rPr>
          <w:rFonts w:ascii="Caudex" w:hAnsi="Caudex"/>
        </w:rPr>
        <w:t>the same</w:t>
      </w:r>
      <w:r w:rsidRPr="00ED284D">
        <w:rPr>
          <w:rFonts w:ascii="Caudex" w:hAnsi="Caudex"/>
          <w:spacing w:val="-2"/>
        </w:rPr>
        <w:t xml:space="preserve"> </w:t>
      </w:r>
      <w:r w:rsidRPr="00ED284D">
        <w:rPr>
          <w:rFonts w:ascii="Caudex" w:hAnsi="Caudex"/>
        </w:rPr>
        <w:t>date</w:t>
      </w:r>
      <w:r w:rsidRPr="00ED284D">
        <w:rPr>
          <w:rFonts w:ascii="Caudex" w:hAnsi="Caudex"/>
          <w:spacing w:val="-3"/>
        </w:rPr>
        <w:t xml:space="preserve"> </w:t>
      </w:r>
      <w:r w:rsidRPr="00ED284D">
        <w:rPr>
          <w:rFonts w:ascii="Caudex" w:hAnsi="Caudex"/>
        </w:rPr>
        <w:t>from</w:t>
      </w:r>
      <w:r w:rsidRPr="00ED284D">
        <w:rPr>
          <w:rFonts w:ascii="Caudex" w:hAnsi="Caudex"/>
          <w:spacing w:val="-1"/>
        </w:rPr>
        <w:t xml:space="preserve"> </w:t>
      </w:r>
      <w:r w:rsidRPr="00ED284D">
        <w:rPr>
          <w:rFonts w:ascii="Caudex" w:hAnsi="Caudex"/>
        </w:rPr>
        <w:t>a</w:t>
      </w:r>
      <w:r w:rsidRPr="00ED284D">
        <w:rPr>
          <w:rFonts w:ascii="Caudex" w:hAnsi="Caudex"/>
          <w:spacing w:val="-1"/>
        </w:rPr>
        <w:t xml:space="preserve"> </w:t>
      </w:r>
      <w:r w:rsidRPr="00ED284D">
        <w:rPr>
          <w:rFonts w:ascii="Caudex" w:hAnsi="Caudex"/>
        </w:rPr>
        <w:t>third</w:t>
      </w:r>
      <w:r w:rsidRPr="00ED284D">
        <w:rPr>
          <w:rFonts w:ascii="Caudex" w:hAnsi="Caudex"/>
          <w:spacing w:val="-2"/>
        </w:rPr>
        <w:t xml:space="preserve"> </w:t>
      </w:r>
      <w:r w:rsidRPr="00ED284D">
        <w:rPr>
          <w:rFonts w:ascii="Caudex" w:hAnsi="Caudex"/>
        </w:rPr>
        <w:t>party</w:t>
      </w:r>
      <w:r w:rsidRPr="00ED284D">
        <w:rPr>
          <w:rFonts w:ascii="Caudex" w:hAnsi="Caudex"/>
          <w:spacing w:val="-1"/>
        </w:rPr>
        <w:t xml:space="preserve"> </w:t>
      </w:r>
      <w:r w:rsidRPr="00ED284D">
        <w:rPr>
          <w:rFonts w:ascii="Caudex" w:hAnsi="Caudex"/>
        </w:rPr>
        <w:t>on</w:t>
      </w:r>
      <w:r w:rsidRPr="00ED284D">
        <w:rPr>
          <w:rFonts w:ascii="Caudex" w:hAnsi="Caudex"/>
          <w:spacing w:val="-2"/>
        </w:rPr>
        <w:t xml:space="preserve"> </w:t>
      </w:r>
      <w:r w:rsidRPr="00ED284D">
        <w:rPr>
          <w:rFonts w:ascii="Caudex" w:hAnsi="Caudex"/>
        </w:rPr>
        <w:t>no</w:t>
      </w:r>
      <w:r w:rsidRPr="00ED284D">
        <w:rPr>
          <w:rFonts w:ascii="Caudex" w:hAnsi="Caudex"/>
          <w:spacing w:val="-1"/>
        </w:rPr>
        <w:t xml:space="preserve"> </w:t>
      </w:r>
      <w:r w:rsidRPr="00ED284D">
        <w:rPr>
          <w:rFonts w:ascii="Caudex" w:hAnsi="Caudex"/>
        </w:rPr>
        <w:t xml:space="preserve">less favourable terms. </w:t>
      </w:r>
    </w:p>
    <w:p w:rsidR="0048765C" w:rsidRPr="00ED284D" w:rsidRDefault="0048765C" w:rsidP="0048765C">
      <w:pPr>
        <w:spacing w:before="121"/>
        <w:ind w:left="112" w:right="58"/>
        <w:jc w:val="both"/>
        <w:rPr>
          <w:rFonts w:ascii="Caudex" w:hAnsi="Caudex"/>
          <w:spacing w:val="-3"/>
        </w:rPr>
      </w:pPr>
      <w:r w:rsidRPr="00ED284D">
        <w:rPr>
          <w:rFonts w:ascii="Caudex" w:hAnsi="Caudex"/>
        </w:rPr>
        <w:t>Cancellation in advance</w:t>
      </w:r>
      <w:r w:rsidRPr="00ED284D">
        <w:rPr>
          <w:rFonts w:ascii="Caudex" w:hAnsi="Caudex"/>
          <w:spacing w:val="-11"/>
        </w:rPr>
        <w:t xml:space="preserve"> </w:t>
      </w:r>
      <w:r w:rsidRPr="00ED284D">
        <w:rPr>
          <w:rFonts w:ascii="Caudex" w:hAnsi="Caudex"/>
        </w:rPr>
        <w:t>between:</w:t>
      </w:r>
      <w:r w:rsidRPr="00ED284D">
        <w:rPr>
          <w:rFonts w:ascii="Caudex" w:hAnsi="Caudex"/>
        </w:rPr>
        <w:tab/>
      </w:r>
      <w:r w:rsidRPr="00ED284D">
        <w:rPr>
          <w:rFonts w:ascii="Caudex" w:hAnsi="Caudex"/>
        </w:rPr>
        <w:tab/>
        <w:t>1 and</w:t>
      </w:r>
      <w:r w:rsidRPr="00ED284D">
        <w:rPr>
          <w:rFonts w:ascii="Caudex" w:hAnsi="Caudex"/>
          <w:spacing w:val="-3"/>
        </w:rPr>
        <w:t xml:space="preserve"> </w:t>
      </w:r>
      <w:r w:rsidRPr="00ED284D">
        <w:rPr>
          <w:rFonts w:ascii="Caudex" w:hAnsi="Caudex"/>
        </w:rPr>
        <w:t>12 months</w:t>
      </w:r>
      <w:r w:rsidRPr="00ED284D">
        <w:rPr>
          <w:rFonts w:ascii="Caudex" w:hAnsi="Caudex"/>
        </w:rPr>
        <w:tab/>
        <w:t xml:space="preserve">Loss of </w:t>
      </w:r>
      <w:r w:rsidRPr="00ED284D">
        <w:rPr>
          <w:rFonts w:ascii="Caudex" w:hAnsi="Caudex"/>
          <w:spacing w:val="-3"/>
        </w:rPr>
        <w:t>deposit</w:t>
      </w:r>
    </w:p>
    <w:p w:rsidR="0048765C" w:rsidRPr="00ED284D" w:rsidRDefault="0048765C" w:rsidP="0048765C">
      <w:pPr>
        <w:tabs>
          <w:tab w:val="left" w:pos="3508"/>
        </w:tabs>
        <w:spacing w:before="123" w:line="367" w:lineRule="auto"/>
        <w:ind w:left="1811" w:right="3185"/>
        <w:jc w:val="both"/>
        <w:rPr>
          <w:rFonts w:ascii="Caudex" w:hAnsi="Caudex"/>
        </w:rPr>
      </w:pPr>
      <w:r w:rsidRPr="00ED284D">
        <w:rPr>
          <w:rFonts w:ascii="Caudex" w:hAnsi="Caudex"/>
          <w:spacing w:val="-3"/>
        </w:rPr>
        <w:tab/>
        <w:t xml:space="preserve">  </w:t>
      </w:r>
      <w:r w:rsidRPr="00ED284D">
        <w:rPr>
          <w:rFonts w:ascii="Caudex" w:hAnsi="Caudex"/>
        </w:rPr>
        <w:t>Less than 30 days</w:t>
      </w:r>
      <w:r w:rsidRPr="00ED284D">
        <w:rPr>
          <w:rFonts w:ascii="Caudex" w:hAnsi="Caudex"/>
          <w:spacing w:val="8"/>
        </w:rPr>
        <w:t xml:space="preserve"> </w:t>
      </w:r>
      <w:r w:rsidRPr="00ED284D">
        <w:rPr>
          <w:rFonts w:ascii="Caudex" w:hAnsi="Caudex"/>
        </w:rPr>
        <w:t>100%</w:t>
      </w:r>
    </w:p>
    <w:p w:rsidR="0048765C" w:rsidRPr="00ED284D" w:rsidRDefault="0048765C" w:rsidP="0048765C">
      <w:pPr>
        <w:ind w:left="112" w:right="49"/>
        <w:rPr>
          <w:rFonts w:ascii="Caudex" w:hAnsi="Caudex"/>
        </w:rPr>
      </w:pPr>
      <w:r w:rsidRPr="00ED284D">
        <w:rPr>
          <w:rFonts w:ascii="Caudex" w:hAnsi="Caudex"/>
        </w:rPr>
        <w:t xml:space="preserve">In addition to the above, any charges payable to any sub-contractors or any other costs incurred on behalf of the client will be charged. In all instances, notification of cancellation </w:t>
      </w:r>
      <w:r w:rsidRPr="00ED284D">
        <w:rPr>
          <w:rFonts w:ascii="Caudex" w:hAnsi="Caudex"/>
          <w:i/>
        </w:rPr>
        <w:t xml:space="preserve">must be made in writing </w:t>
      </w:r>
      <w:r w:rsidRPr="00ED284D">
        <w:rPr>
          <w:rFonts w:ascii="Caudex" w:hAnsi="Caudex"/>
        </w:rPr>
        <w:t>and will be effective on the date received by Pendle Heritage Centre</w:t>
      </w:r>
    </w:p>
    <w:p w:rsidR="0048765C" w:rsidRPr="00ED284D" w:rsidRDefault="0048765C" w:rsidP="0048765C">
      <w:pPr>
        <w:pStyle w:val="BodyText"/>
        <w:spacing w:before="8"/>
        <w:rPr>
          <w:rFonts w:ascii="Caudex" w:hAnsi="Caudex"/>
          <w:sz w:val="22"/>
          <w:szCs w:val="22"/>
        </w:rPr>
      </w:pPr>
    </w:p>
    <w:p w:rsidR="0048765C" w:rsidRPr="00ED284D" w:rsidRDefault="0048765C" w:rsidP="0048765C">
      <w:pPr>
        <w:pStyle w:val="Heading2"/>
        <w:numPr>
          <w:ilvl w:val="0"/>
          <w:numId w:val="1"/>
        </w:numPr>
        <w:tabs>
          <w:tab w:val="left" w:pos="312"/>
        </w:tabs>
        <w:spacing w:before="1"/>
        <w:jc w:val="both"/>
        <w:rPr>
          <w:rFonts w:ascii="Caudex" w:hAnsi="Caudex"/>
          <w:sz w:val="22"/>
          <w:szCs w:val="22"/>
        </w:rPr>
      </w:pPr>
      <w:r w:rsidRPr="00ED284D">
        <w:rPr>
          <w:rFonts w:ascii="Caudex" w:hAnsi="Caudex"/>
          <w:sz w:val="22"/>
          <w:szCs w:val="22"/>
        </w:rPr>
        <w:t>Cancellation by Pendle Heritage Centre</w:t>
      </w:r>
    </w:p>
    <w:p w:rsidR="0048765C" w:rsidRPr="00ED284D" w:rsidRDefault="0048765C" w:rsidP="0048765C">
      <w:pPr>
        <w:spacing w:before="123"/>
        <w:ind w:left="112"/>
        <w:jc w:val="both"/>
        <w:rPr>
          <w:rFonts w:ascii="Caudex" w:hAnsi="Caudex"/>
        </w:rPr>
      </w:pPr>
      <w:r w:rsidRPr="00ED284D">
        <w:rPr>
          <w:rFonts w:ascii="Caudex" w:hAnsi="Caudex"/>
        </w:rPr>
        <w:t>Pendle Heritage Centre reserves the right to cancel any booking in the event of:</w:t>
      </w:r>
    </w:p>
    <w:p w:rsidR="0048765C" w:rsidRPr="00ED284D" w:rsidRDefault="0048765C" w:rsidP="0048765C">
      <w:pPr>
        <w:spacing w:before="118"/>
        <w:ind w:left="112"/>
        <w:jc w:val="both"/>
        <w:rPr>
          <w:rFonts w:ascii="Caudex" w:hAnsi="Caudex"/>
        </w:rPr>
      </w:pPr>
      <w:proofErr w:type="gramStart"/>
      <w:r w:rsidRPr="00ED284D">
        <w:rPr>
          <w:rFonts w:ascii="Caudex" w:hAnsi="Caudex"/>
        </w:rPr>
        <w:lastRenderedPageBreak/>
        <w:t>A, the Client not fulfilling the requested prepaying schedule.</w:t>
      </w:r>
      <w:proofErr w:type="gramEnd"/>
    </w:p>
    <w:p w:rsidR="0048765C" w:rsidRPr="00ED284D" w:rsidRDefault="0048765C" w:rsidP="0048765C">
      <w:pPr>
        <w:spacing w:before="119"/>
        <w:ind w:left="112" w:right="49"/>
        <w:rPr>
          <w:rFonts w:ascii="Caudex" w:hAnsi="Caudex"/>
        </w:rPr>
      </w:pPr>
      <w:proofErr w:type="gramStart"/>
      <w:r w:rsidRPr="00ED284D">
        <w:rPr>
          <w:rFonts w:ascii="Caudex" w:hAnsi="Caudex"/>
        </w:rPr>
        <w:t xml:space="preserve">B, the management having reasonable grounds to believe that the holding of such function would prejudice the reputation, good name or standing of Pendle Heritage </w:t>
      </w:r>
      <w:proofErr w:type="spellStart"/>
      <w:r w:rsidRPr="00ED284D">
        <w:rPr>
          <w:rFonts w:ascii="Caudex" w:hAnsi="Caudex"/>
        </w:rPr>
        <w:t>Centrel</w:t>
      </w:r>
      <w:proofErr w:type="spellEnd"/>
      <w:r w:rsidRPr="00ED284D">
        <w:rPr>
          <w:rFonts w:ascii="Caudex" w:hAnsi="Caudex"/>
        </w:rPr>
        <w:t>.</w:t>
      </w:r>
      <w:proofErr w:type="gramEnd"/>
    </w:p>
    <w:p w:rsidR="0048765C" w:rsidRPr="00ED284D" w:rsidRDefault="0048765C" w:rsidP="0048765C">
      <w:pPr>
        <w:spacing w:before="120"/>
        <w:ind w:left="112"/>
        <w:rPr>
          <w:rFonts w:ascii="Caudex" w:hAnsi="Caudex"/>
        </w:rPr>
      </w:pPr>
      <w:r w:rsidRPr="00ED284D">
        <w:rPr>
          <w:rFonts w:ascii="Caudex" w:hAnsi="Caudex"/>
        </w:rPr>
        <w:t>Pendle Heritage Centre is not liable for any occurrence outside its control which prevents the performance of obligations towards the booking. In such an event, Pendle Heritage Centre shall use reasonable endeavours to offer the client alternative facilities and services, if such can be found and are acceptable to the client (such acceptance not to be unreasonably withheld).</w:t>
      </w:r>
    </w:p>
    <w:p w:rsidR="0048765C" w:rsidRPr="00ED284D" w:rsidRDefault="0048765C" w:rsidP="0048765C">
      <w:pPr>
        <w:spacing w:before="98"/>
        <w:ind w:left="112" w:right="377"/>
        <w:rPr>
          <w:rFonts w:ascii="Caudex" w:hAnsi="Caudex"/>
        </w:rPr>
      </w:pPr>
      <w:r w:rsidRPr="00ED284D">
        <w:rPr>
          <w:rFonts w:ascii="Caudex" w:hAnsi="Caudex"/>
        </w:rPr>
        <w:br w:type="column"/>
      </w:r>
      <w:r w:rsidRPr="00ED284D">
        <w:rPr>
          <w:rFonts w:ascii="Caudex" w:hAnsi="Caudex"/>
        </w:rPr>
        <w:lastRenderedPageBreak/>
        <w:t>In the event that this is not possible, however, Pendle Heritage Centre’s obligation to the client extends up to, and is limited to, the full refund of any deposits held.</w:t>
      </w:r>
    </w:p>
    <w:p w:rsidR="0048765C" w:rsidRPr="00ED284D" w:rsidRDefault="0048765C" w:rsidP="0048765C">
      <w:pPr>
        <w:pStyle w:val="BodyText"/>
        <w:spacing w:before="5"/>
        <w:rPr>
          <w:rFonts w:ascii="Caudex" w:hAnsi="Caudex"/>
          <w:sz w:val="22"/>
          <w:szCs w:val="22"/>
        </w:rPr>
      </w:pPr>
    </w:p>
    <w:p w:rsidR="0048765C" w:rsidRPr="00ED284D" w:rsidRDefault="0048765C" w:rsidP="0048765C">
      <w:pPr>
        <w:pStyle w:val="Heading2"/>
        <w:numPr>
          <w:ilvl w:val="0"/>
          <w:numId w:val="1"/>
        </w:numPr>
        <w:tabs>
          <w:tab w:val="left" w:pos="321"/>
        </w:tabs>
        <w:spacing w:line="239" w:lineRule="exact"/>
        <w:ind w:left="320" w:hanging="209"/>
        <w:rPr>
          <w:rFonts w:ascii="Caudex" w:hAnsi="Caudex"/>
          <w:sz w:val="22"/>
          <w:szCs w:val="22"/>
        </w:rPr>
      </w:pPr>
      <w:r w:rsidRPr="00ED284D">
        <w:rPr>
          <w:rFonts w:ascii="Caudex" w:hAnsi="Caudex"/>
          <w:sz w:val="22"/>
          <w:szCs w:val="22"/>
        </w:rPr>
        <w:t>Outside</w:t>
      </w:r>
      <w:r w:rsidRPr="00ED284D">
        <w:rPr>
          <w:rFonts w:ascii="Caudex" w:hAnsi="Caudex"/>
          <w:spacing w:val="-7"/>
          <w:sz w:val="22"/>
          <w:szCs w:val="22"/>
        </w:rPr>
        <w:t xml:space="preserve"> </w:t>
      </w:r>
      <w:r w:rsidRPr="00ED284D">
        <w:rPr>
          <w:rFonts w:ascii="Caudex" w:hAnsi="Caudex"/>
          <w:sz w:val="22"/>
          <w:szCs w:val="22"/>
        </w:rPr>
        <w:t>Contractors</w:t>
      </w:r>
    </w:p>
    <w:p w:rsidR="0048765C" w:rsidRPr="00ED284D" w:rsidRDefault="0048765C" w:rsidP="0048765C">
      <w:pPr>
        <w:pStyle w:val="Heading2"/>
        <w:tabs>
          <w:tab w:val="left" w:pos="321"/>
        </w:tabs>
        <w:spacing w:line="239" w:lineRule="exact"/>
        <w:ind w:left="320"/>
        <w:rPr>
          <w:rFonts w:ascii="Caudex" w:hAnsi="Caudex"/>
          <w:sz w:val="22"/>
          <w:szCs w:val="22"/>
        </w:rPr>
      </w:pPr>
    </w:p>
    <w:p w:rsidR="0048765C" w:rsidRPr="00ED284D" w:rsidRDefault="0048765C" w:rsidP="0048765C">
      <w:pPr>
        <w:spacing w:before="3" w:line="228" w:lineRule="auto"/>
        <w:ind w:left="112" w:right="168"/>
        <w:rPr>
          <w:rFonts w:ascii="Caudex" w:hAnsi="Caudex"/>
        </w:rPr>
      </w:pPr>
      <w:r w:rsidRPr="00ED284D">
        <w:rPr>
          <w:rFonts w:ascii="Caudex" w:hAnsi="Caudex"/>
        </w:rPr>
        <w:t>Outside</w:t>
      </w:r>
      <w:r w:rsidRPr="00ED284D">
        <w:rPr>
          <w:rFonts w:ascii="Caudex" w:hAnsi="Caudex"/>
          <w:spacing w:val="-6"/>
        </w:rPr>
        <w:t xml:space="preserve"> </w:t>
      </w:r>
      <w:r w:rsidRPr="00ED284D">
        <w:rPr>
          <w:rFonts w:ascii="Caudex" w:hAnsi="Caudex"/>
        </w:rPr>
        <w:t>contractors</w:t>
      </w:r>
      <w:r w:rsidRPr="00ED284D">
        <w:rPr>
          <w:rFonts w:ascii="Caudex" w:hAnsi="Caudex"/>
          <w:spacing w:val="-1"/>
        </w:rPr>
        <w:t xml:space="preserve"> </w:t>
      </w:r>
      <w:r w:rsidRPr="00ED284D">
        <w:rPr>
          <w:rFonts w:ascii="Caudex" w:hAnsi="Caudex"/>
        </w:rPr>
        <w:t>employed</w:t>
      </w:r>
      <w:r w:rsidRPr="00ED284D">
        <w:rPr>
          <w:rFonts w:ascii="Caudex" w:hAnsi="Caudex"/>
          <w:spacing w:val="-3"/>
        </w:rPr>
        <w:t xml:space="preserve"> </w:t>
      </w:r>
      <w:r w:rsidRPr="00ED284D">
        <w:rPr>
          <w:rFonts w:ascii="Caudex" w:hAnsi="Caudex"/>
        </w:rPr>
        <w:t>by</w:t>
      </w:r>
      <w:r w:rsidRPr="00ED284D">
        <w:rPr>
          <w:rFonts w:ascii="Caudex" w:hAnsi="Caudex"/>
          <w:spacing w:val="-3"/>
        </w:rPr>
        <w:t xml:space="preserve"> </w:t>
      </w:r>
      <w:r w:rsidRPr="00ED284D">
        <w:rPr>
          <w:rFonts w:ascii="Caudex" w:hAnsi="Caudex"/>
        </w:rPr>
        <w:t>the</w:t>
      </w:r>
      <w:r w:rsidRPr="00ED284D">
        <w:rPr>
          <w:rFonts w:ascii="Caudex" w:hAnsi="Caudex"/>
          <w:spacing w:val="-3"/>
        </w:rPr>
        <w:t xml:space="preserve"> </w:t>
      </w:r>
      <w:r w:rsidRPr="00ED284D">
        <w:rPr>
          <w:rFonts w:ascii="Caudex" w:hAnsi="Caudex"/>
        </w:rPr>
        <w:t>client</w:t>
      </w:r>
      <w:r w:rsidRPr="00ED284D">
        <w:rPr>
          <w:rFonts w:ascii="Caudex" w:hAnsi="Caudex"/>
          <w:spacing w:val="-4"/>
        </w:rPr>
        <w:t xml:space="preserve"> </w:t>
      </w:r>
      <w:r w:rsidRPr="00ED284D">
        <w:rPr>
          <w:rFonts w:ascii="Caudex" w:hAnsi="Caudex"/>
        </w:rPr>
        <w:t>must</w:t>
      </w:r>
      <w:r w:rsidRPr="00ED284D">
        <w:rPr>
          <w:rFonts w:ascii="Caudex" w:hAnsi="Caudex"/>
          <w:spacing w:val="-3"/>
        </w:rPr>
        <w:t xml:space="preserve"> </w:t>
      </w:r>
      <w:r w:rsidRPr="00ED284D">
        <w:rPr>
          <w:rFonts w:ascii="Caudex" w:hAnsi="Caudex"/>
        </w:rPr>
        <w:t>comply</w:t>
      </w:r>
      <w:r w:rsidRPr="00ED284D">
        <w:rPr>
          <w:rFonts w:ascii="Caudex" w:hAnsi="Caudex"/>
          <w:spacing w:val="-3"/>
        </w:rPr>
        <w:t xml:space="preserve"> </w:t>
      </w:r>
      <w:r w:rsidRPr="00ED284D">
        <w:rPr>
          <w:rFonts w:ascii="Caudex" w:hAnsi="Caudex"/>
        </w:rPr>
        <w:t>with</w:t>
      </w:r>
      <w:r w:rsidRPr="00ED284D">
        <w:rPr>
          <w:rFonts w:ascii="Caudex" w:hAnsi="Caudex"/>
          <w:spacing w:val="-3"/>
        </w:rPr>
        <w:t xml:space="preserve"> </w:t>
      </w:r>
      <w:r w:rsidRPr="00ED284D">
        <w:rPr>
          <w:rFonts w:ascii="Caudex" w:hAnsi="Caudex"/>
        </w:rPr>
        <w:t>appropriate</w:t>
      </w:r>
      <w:r w:rsidRPr="00ED284D">
        <w:rPr>
          <w:rFonts w:ascii="Caudex" w:hAnsi="Caudex"/>
          <w:spacing w:val="-2"/>
        </w:rPr>
        <w:t xml:space="preserve"> </w:t>
      </w:r>
      <w:r w:rsidRPr="00ED284D">
        <w:rPr>
          <w:rFonts w:ascii="Caudex" w:hAnsi="Caudex"/>
        </w:rPr>
        <w:t>legislation</w:t>
      </w:r>
      <w:r w:rsidRPr="00ED284D">
        <w:rPr>
          <w:rFonts w:ascii="Caudex" w:hAnsi="Caudex"/>
          <w:spacing w:val="-6"/>
        </w:rPr>
        <w:t xml:space="preserve"> </w:t>
      </w:r>
      <w:r w:rsidRPr="00ED284D">
        <w:rPr>
          <w:rFonts w:ascii="Caudex" w:hAnsi="Caudex"/>
        </w:rPr>
        <w:t>and</w:t>
      </w:r>
      <w:r w:rsidRPr="00ED284D">
        <w:rPr>
          <w:rFonts w:ascii="Caudex" w:hAnsi="Caudex"/>
          <w:spacing w:val="-3"/>
        </w:rPr>
        <w:t xml:space="preserve"> </w:t>
      </w:r>
      <w:r w:rsidRPr="00ED284D">
        <w:rPr>
          <w:rFonts w:ascii="Caudex" w:hAnsi="Caudex"/>
        </w:rPr>
        <w:t>be</w:t>
      </w:r>
      <w:r w:rsidRPr="00ED284D">
        <w:rPr>
          <w:rFonts w:ascii="Caudex" w:hAnsi="Caudex"/>
          <w:spacing w:val="-2"/>
        </w:rPr>
        <w:t xml:space="preserve"> </w:t>
      </w:r>
      <w:r w:rsidRPr="00ED284D">
        <w:rPr>
          <w:rFonts w:ascii="Caudex" w:hAnsi="Caudex"/>
        </w:rPr>
        <w:t>in</w:t>
      </w:r>
      <w:r w:rsidRPr="00ED284D">
        <w:rPr>
          <w:rFonts w:ascii="Caudex" w:hAnsi="Caudex"/>
          <w:spacing w:val="-7"/>
        </w:rPr>
        <w:t xml:space="preserve"> </w:t>
      </w:r>
      <w:r w:rsidRPr="00ED284D">
        <w:rPr>
          <w:rFonts w:ascii="Caudex" w:hAnsi="Caudex"/>
        </w:rPr>
        <w:t>contact</w:t>
      </w:r>
      <w:r w:rsidRPr="00ED284D">
        <w:rPr>
          <w:rFonts w:ascii="Caudex" w:hAnsi="Caudex"/>
          <w:spacing w:val="-3"/>
        </w:rPr>
        <w:t xml:space="preserve"> </w:t>
      </w:r>
      <w:r w:rsidRPr="00ED284D">
        <w:rPr>
          <w:rFonts w:ascii="Caudex" w:hAnsi="Caudex"/>
        </w:rPr>
        <w:t>with</w:t>
      </w:r>
      <w:r w:rsidRPr="00ED284D">
        <w:rPr>
          <w:rFonts w:ascii="Caudex" w:hAnsi="Caudex"/>
          <w:spacing w:val="-3"/>
        </w:rPr>
        <w:t xml:space="preserve"> </w:t>
      </w:r>
      <w:r w:rsidRPr="00ED284D">
        <w:rPr>
          <w:rFonts w:ascii="Caudex" w:hAnsi="Caudex"/>
        </w:rPr>
        <w:t>Pendle Heritage Centre prior to the event. They must provide evidence of their insurance (minimum of Third Party Liability) and relevant PAT testing of equipment.</w:t>
      </w:r>
    </w:p>
    <w:p w:rsidR="0048765C" w:rsidRPr="00ED284D" w:rsidRDefault="0048765C" w:rsidP="0048765C">
      <w:pPr>
        <w:pStyle w:val="BodyText"/>
        <w:spacing w:before="3"/>
        <w:rPr>
          <w:rFonts w:ascii="Caudex" w:hAnsi="Caudex"/>
          <w:sz w:val="22"/>
          <w:szCs w:val="22"/>
        </w:rPr>
      </w:pPr>
    </w:p>
    <w:p w:rsidR="0048765C" w:rsidRPr="00ED284D" w:rsidRDefault="0048765C" w:rsidP="0048765C">
      <w:pPr>
        <w:ind w:left="112"/>
        <w:rPr>
          <w:rFonts w:ascii="Caudex" w:hAnsi="Caudex"/>
        </w:rPr>
      </w:pPr>
      <w:r w:rsidRPr="00ED284D">
        <w:rPr>
          <w:rFonts w:ascii="Caudex" w:hAnsi="Caudex"/>
        </w:rPr>
        <w:t>Pendle Heritage Centre cannot accept responsibility for work carried out by outside contractors</w:t>
      </w:r>
      <w:r w:rsidRPr="00ED284D">
        <w:rPr>
          <w:rFonts w:ascii="Caudex" w:hAnsi="Caudex"/>
          <w:color w:val="085295"/>
        </w:rPr>
        <w:t>.</w:t>
      </w:r>
    </w:p>
    <w:p w:rsidR="0048765C" w:rsidRPr="00ED284D" w:rsidRDefault="00573BBF" w:rsidP="0048765C">
      <w:pPr>
        <w:pStyle w:val="BodyText"/>
        <w:spacing w:line="20" w:lineRule="exact"/>
        <w:ind w:left="5991"/>
        <w:rPr>
          <w:rFonts w:ascii="Caudex" w:hAnsi="Caudex"/>
          <w:sz w:val="22"/>
          <w:szCs w:val="22"/>
        </w:rPr>
      </w:pPr>
      <w:r w:rsidRPr="00ED284D">
        <w:rPr>
          <w:rFonts w:ascii="Caudex" w:hAnsi="Caudex"/>
          <w:sz w:val="22"/>
          <w:szCs w:val="22"/>
        </w:rPr>
      </w:r>
      <w:r w:rsidRPr="00ED284D">
        <w:rPr>
          <w:rFonts w:ascii="Caudex" w:hAnsi="Caudex"/>
          <w:sz w:val="22"/>
          <w:szCs w:val="22"/>
        </w:rPr>
        <w:pict>
          <v:group id="_x0000_s1026" style="width:2.2pt;height:.6pt;mso-position-horizontal-relative:char;mso-position-vertical-relative:line" coordsize="44,12">
            <v:rect id="_x0000_s1027" style="position:absolute;width:44;height:12" fillcolor="#085295" stroked="f"/>
            <w10:wrap type="none"/>
            <w10:anchorlock/>
          </v:group>
        </w:pict>
      </w:r>
    </w:p>
    <w:p w:rsidR="0048765C" w:rsidRPr="00ED284D" w:rsidRDefault="0048765C" w:rsidP="0048765C">
      <w:pPr>
        <w:pStyle w:val="BodyText"/>
        <w:spacing w:before="1"/>
        <w:rPr>
          <w:rFonts w:ascii="Caudex" w:hAnsi="Caudex"/>
          <w:sz w:val="22"/>
          <w:szCs w:val="22"/>
        </w:rPr>
      </w:pPr>
    </w:p>
    <w:p w:rsidR="0048765C" w:rsidRPr="00ED284D" w:rsidRDefault="0048765C" w:rsidP="0048765C">
      <w:pPr>
        <w:pStyle w:val="Heading2"/>
        <w:numPr>
          <w:ilvl w:val="0"/>
          <w:numId w:val="1"/>
        </w:numPr>
        <w:tabs>
          <w:tab w:val="left" w:pos="311"/>
        </w:tabs>
        <w:ind w:left="310" w:hanging="199"/>
        <w:rPr>
          <w:rFonts w:ascii="Caudex" w:hAnsi="Caudex"/>
          <w:sz w:val="22"/>
          <w:szCs w:val="22"/>
        </w:rPr>
      </w:pPr>
      <w:r w:rsidRPr="00ED284D">
        <w:rPr>
          <w:rFonts w:ascii="Caudex" w:hAnsi="Caudex"/>
          <w:sz w:val="22"/>
          <w:szCs w:val="22"/>
        </w:rPr>
        <w:t>Consumption of Food and</w:t>
      </w:r>
      <w:r w:rsidRPr="00ED284D">
        <w:rPr>
          <w:rFonts w:ascii="Caudex" w:hAnsi="Caudex"/>
          <w:spacing w:val="-6"/>
          <w:sz w:val="22"/>
          <w:szCs w:val="22"/>
        </w:rPr>
        <w:t xml:space="preserve"> </w:t>
      </w:r>
      <w:r w:rsidRPr="00ED284D">
        <w:rPr>
          <w:rFonts w:ascii="Caudex" w:hAnsi="Caudex"/>
          <w:sz w:val="22"/>
          <w:szCs w:val="22"/>
        </w:rPr>
        <w:t>Drink</w:t>
      </w:r>
    </w:p>
    <w:p w:rsidR="0048765C" w:rsidRPr="00ED284D" w:rsidRDefault="0048765C" w:rsidP="0048765C">
      <w:pPr>
        <w:spacing w:before="124"/>
        <w:ind w:left="112" w:right="377"/>
        <w:rPr>
          <w:rFonts w:ascii="Caudex" w:hAnsi="Caudex"/>
        </w:rPr>
      </w:pPr>
      <w:r w:rsidRPr="00ED284D">
        <w:rPr>
          <w:rFonts w:ascii="Caudex" w:hAnsi="Caudex"/>
        </w:rPr>
        <w:t>Consumption of food and drink other than supplied by Pendle Heritage Centre / Contract Caterers is not permitted without prior agreement.</w:t>
      </w:r>
    </w:p>
    <w:p w:rsidR="0048765C" w:rsidRPr="00ED284D" w:rsidRDefault="0048765C" w:rsidP="0048765C">
      <w:pPr>
        <w:spacing w:before="119"/>
        <w:ind w:left="112"/>
        <w:rPr>
          <w:rFonts w:ascii="Caudex" w:hAnsi="Caudex"/>
        </w:rPr>
      </w:pPr>
      <w:r w:rsidRPr="00ED284D">
        <w:rPr>
          <w:rFonts w:ascii="Caudex" w:hAnsi="Caudex"/>
        </w:rPr>
        <w:t>Pendle Heritage Centre cannot be held responsible for the quality of food supplied by outside caterers.</w:t>
      </w:r>
    </w:p>
    <w:p w:rsidR="0048765C" w:rsidRPr="00ED284D" w:rsidRDefault="0048765C" w:rsidP="0048765C">
      <w:pPr>
        <w:spacing w:before="119"/>
        <w:ind w:left="112" w:right="377"/>
        <w:rPr>
          <w:rFonts w:ascii="Caudex" w:hAnsi="Caudex"/>
        </w:rPr>
      </w:pPr>
      <w:r w:rsidRPr="00ED284D">
        <w:rPr>
          <w:rFonts w:ascii="Caudex" w:hAnsi="Caudex"/>
        </w:rPr>
        <w:t>Please note that due to our Bar and Entertainments license, all evening functions must finish at 12 Midnight at the latest.</w:t>
      </w:r>
    </w:p>
    <w:p w:rsidR="0048765C" w:rsidRPr="00ED284D" w:rsidRDefault="0048765C" w:rsidP="0048765C">
      <w:pPr>
        <w:pStyle w:val="BodyText"/>
        <w:spacing w:before="7"/>
        <w:rPr>
          <w:rFonts w:ascii="Caudex" w:hAnsi="Caudex"/>
          <w:sz w:val="22"/>
          <w:szCs w:val="22"/>
        </w:rPr>
      </w:pPr>
    </w:p>
    <w:p w:rsidR="0048765C" w:rsidRPr="00ED284D" w:rsidRDefault="0048765C" w:rsidP="0048765C">
      <w:pPr>
        <w:pStyle w:val="Heading2"/>
        <w:numPr>
          <w:ilvl w:val="0"/>
          <w:numId w:val="1"/>
        </w:numPr>
        <w:tabs>
          <w:tab w:val="left" w:pos="312"/>
        </w:tabs>
        <w:rPr>
          <w:rFonts w:ascii="Caudex" w:hAnsi="Caudex"/>
          <w:sz w:val="22"/>
          <w:szCs w:val="22"/>
        </w:rPr>
      </w:pPr>
      <w:r w:rsidRPr="00ED284D">
        <w:rPr>
          <w:rFonts w:ascii="Caudex" w:hAnsi="Caudex"/>
          <w:sz w:val="22"/>
          <w:szCs w:val="22"/>
        </w:rPr>
        <w:t>Entertainment</w:t>
      </w:r>
    </w:p>
    <w:p w:rsidR="0048765C" w:rsidRPr="00ED284D" w:rsidRDefault="0048765C" w:rsidP="0048765C">
      <w:pPr>
        <w:spacing w:before="123"/>
        <w:ind w:left="112"/>
        <w:rPr>
          <w:rFonts w:ascii="Caudex" w:hAnsi="Caudex"/>
        </w:rPr>
      </w:pPr>
      <w:r w:rsidRPr="00ED284D">
        <w:rPr>
          <w:rFonts w:ascii="Caudex" w:hAnsi="Caudex"/>
        </w:rPr>
        <w:t>Prior consent of Pendle Heritage Centre must be sought for any entertainment or service contracted for the function by the client. Clients may not use candles, smoke machines, lasers, or dry ice at Pendle Heritage Centre.</w:t>
      </w:r>
    </w:p>
    <w:p w:rsidR="0048765C" w:rsidRPr="00ED284D" w:rsidRDefault="0048765C" w:rsidP="0048765C">
      <w:pPr>
        <w:spacing w:before="119"/>
        <w:ind w:left="112" w:right="377"/>
        <w:rPr>
          <w:rFonts w:ascii="Caudex" w:hAnsi="Caudex"/>
        </w:rPr>
      </w:pPr>
      <w:r w:rsidRPr="00ED284D">
        <w:rPr>
          <w:rFonts w:ascii="Caudex" w:hAnsi="Caudex"/>
        </w:rPr>
        <w:t>Pendle Heritage Centre reserves the right to judge acceptable levels of noise or behaviour of the clients, guests or representatives and the client must take all necessary steps to alleviate the situation.</w:t>
      </w:r>
    </w:p>
    <w:p w:rsidR="0048765C" w:rsidRPr="00ED284D" w:rsidRDefault="0048765C" w:rsidP="0048765C">
      <w:pPr>
        <w:spacing w:before="120"/>
        <w:ind w:left="112" w:right="429"/>
        <w:rPr>
          <w:rFonts w:ascii="Caudex" w:hAnsi="Caudex"/>
        </w:rPr>
      </w:pPr>
      <w:r w:rsidRPr="00ED284D">
        <w:rPr>
          <w:rFonts w:ascii="Caudex" w:hAnsi="Caudex"/>
        </w:rPr>
        <w:t>In the event of failure to comply with management requests, Pendle Heritage Centre reserves the right to terminate the contract and the event without being liable for any refund or compensation.</w:t>
      </w:r>
    </w:p>
    <w:p w:rsidR="0048765C" w:rsidRPr="00ED284D" w:rsidRDefault="0048765C" w:rsidP="0048765C">
      <w:pPr>
        <w:pStyle w:val="BodyText"/>
        <w:spacing w:before="6"/>
        <w:rPr>
          <w:rFonts w:ascii="Caudex" w:hAnsi="Caudex"/>
          <w:sz w:val="22"/>
          <w:szCs w:val="22"/>
        </w:rPr>
      </w:pPr>
    </w:p>
    <w:p w:rsidR="0048765C" w:rsidRPr="00ED284D" w:rsidRDefault="0048765C" w:rsidP="0048765C">
      <w:pPr>
        <w:pStyle w:val="Heading2"/>
        <w:numPr>
          <w:ilvl w:val="0"/>
          <w:numId w:val="1"/>
        </w:numPr>
        <w:tabs>
          <w:tab w:val="left" w:pos="312"/>
        </w:tabs>
        <w:rPr>
          <w:rFonts w:ascii="Caudex" w:hAnsi="Caudex"/>
          <w:sz w:val="22"/>
          <w:szCs w:val="22"/>
        </w:rPr>
      </w:pPr>
      <w:r w:rsidRPr="00ED284D">
        <w:rPr>
          <w:rFonts w:ascii="Caudex" w:hAnsi="Caudex"/>
          <w:sz w:val="22"/>
          <w:szCs w:val="22"/>
        </w:rPr>
        <w:t>Damage</w:t>
      </w:r>
    </w:p>
    <w:p w:rsidR="0048765C" w:rsidRPr="00ED284D" w:rsidRDefault="0048765C" w:rsidP="0048765C">
      <w:pPr>
        <w:spacing w:before="121"/>
        <w:ind w:left="112" w:right="711"/>
        <w:rPr>
          <w:rFonts w:ascii="Caudex" w:hAnsi="Caudex"/>
        </w:rPr>
      </w:pPr>
      <w:r w:rsidRPr="00ED284D">
        <w:rPr>
          <w:rFonts w:ascii="Caudex" w:hAnsi="Caudex"/>
        </w:rPr>
        <w:t>The Client will be responsible for any damage caused to the Centre by themselves, a sub-contractor or their guests and shall pay for such damage or loss of business caused as a result.</w:t>
      </w:r>
    </w:p>
    <w:p w:rsidR="0048765C" w:rsidRPr="00ED284D" w:rsidRDefault="0048765C" w:rsidP="0048765C">
      <w:pPr>
        <w:pStyle w:val="BodyText"/>
        <w:spacing w:before="6"/>
        <w:rPr>
          <w:rFonts w:ascii="Caudex" w:hAnsi="Caudex"/>
          <w:sz w:val="22"/>
          <w:szCs w:val="22"/>
        </w:rPr>
      </w:pPr>
    </w:p>
    <w:p w:rsidR="0048765C" w:rsidRPr="00ED284D" w:rsidRDefault="0048765C" w:rsidP="0048765C">
      <w:pPr>
        <w:pStyle w:val="Heading2"/>
        <w:numPr>
          <w:ilvl w:val="0"/>
          <w:numId w:val="1"/>
        </w:numPr>
        <w:tabs>
          <w:tab w:val="left" w:pos="311"/>
        </w:tabs>
        <w:spacing w:before="1"/>
        <w:ind w:left="310" w:hanging="199"/>
        <w:rPr>
          <w:rFonts w:ascii="Caudex" w:hAnsi="Caudex"/>
          <w:sz w:val="22"/>
          <w:szCs w:val="22"/>
        </w:rPr>
      </w:pPr>
      <w:r w:rsidRPr="00ED284D">
        <w:rPr>
          <w:rFonts w:ascii="Caudex" w:hAnsi="Caudex"/>
          <w:sz w:val="22"/>
          <w:szCs w:val="22"/>
        </w:rPr>
        <w:lastRenderedPageBreak/>
        <w:t>Disclaimer</w:t>
      </w:r>
    </w:p>
    <w:p w:rsidR="0048765C" w:rsidRPr="00ED284D" w:rsidRDefault="0048765C" w:rsidP="0048765C">
      <w:pPr>
        <w:spacing w:before="123"/>
        <w:ind w:left="112" w:right="168"/>
        <w:rPr>
          <w:rFonts w:ascii="Caudex" w:hAnsi="Caudex"/>
        </w:rPr>
      </w:pPr>
      <w:r w:rsidRPr="00ED284D">
        <w:rPr>
          <w:rFonts w:ascii="Caudex" w:hAnsi="Caudex"/>
        </w:rPr>
        <w:t>Whilst every effort is made to safeguard clients’ property, Pendle Heritage Centre does not accept any liability for any loss of damage caused or for vehicles parked in the car parks. Nor can we be responsible for gifts or decorations that have been delivered for a function.</w:t>
      </w:r>
    </w:p>
    <w:p w:rsidR="0048765C" w:rsidRPr="00ED284D" w:rsidRDefault="0048765C" w:rsidP="0048765C">
      <w:pPr>
        <w:pStyle w:val="BodyText"/>
        <w:spacing w:before="6"/>
        <w:rPr>
          <w:rFonts w:ascii="Caudex" w:hAnsi="Caudex"/>
          <w:sz w:val="22"/>
          <w:szCs w:val="22"/>
        </w:rPr>
      </w:pPr>
    </w:p>
    <w:p w:rsidR="0048765C" w:rsidRPr="00ED284D" w:rsidRDefault="0048765C" w:rsidP="0048765C">
      <w:pPr>
        <w:pStyle w:val="Heading2"/>
        <w:numPr>
          <w:ilvl w:val="0"/>
          <w:numId w:val="1"/>
        </w:numPr>
        <w:tabs>
          <w:tab w:val="left" w:pos="412"/>
        </w:tabs>
        <w:ind w:left="411" w:hanging="300"/>
        <w:rPr>
          <w:rFonts w:ascii="Caudex" w:hAnsi="Caudex"/>
          <w:sz w:val="22"/>
          <w:szCs w:val="22"/>
        </w:rPr>
      </w:pPr>
      <w:r w:rsidRPr="00ED284D">
        <w:rPr>
          <w:rFonts w:ascii="Caudex" w:hAnsi="Caudex"/>
          <w:sz w:val="22"/>
          <w:szCs w:val="22"/>
        </w:rPr>
        <w:t>Insurance</w:t>
      </w:r>
    </w:p>
    <w:p w:rsidR="0048765C" w:rsidRPr="00ED284D" w:rsidRDefault="0048765C" w:rsidP="0048765C">
      <w:pPr>
        <w:spacing w:before="123"/>
        <w:ind w:left="112"/>
        <w:rPr>
          <w:rFonts w:ascii="Caudex" w:hAnsi="Caudex"/>
        </w:rPr>
      </w:pPr>
      <w:r w:rsidRPr="00ED284D">
        <w:rPr>
          <w:rFonts w:ascii="Caudex" w:hAnsi="Caudex"/>
        </w:rPr>
        <w:t>Clients are recommended to take out their own insurance.</w:t>
      </w:r>
    </w:p>
    <w:p w:rsidR="00003073" w:rsidRPr="00ED284D" w:rsidRDefault="00003073">
      <w:pPr>
        <w:rPr>
          <w:rFonts w:ascii="Caudex" w:hAnsi="Caudex"/>
        </w:rPr>
      </w:pPr>
    </w:p>
    <w:sectPr w:rsidR="00003073" w:rsidRPr="00ED284D" w:rsidSect="0048765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udex">
    <w:panose1 w:val="02040502050505030304"/>
    <w:charset w:val="00"/>
    <w:family w:val="roman"/>
    <w:pitch w:val="variable"/>
    <w:sig w:usb0="E40000FF" w:usb1="5000A0FB" w:usb2="00008000" w:usb3="00000000" w:csb0="8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3395D"/>
    <w:multiLevelType w:val="hybridMultilevel"/>
    <w:tmpl w:val="D5FCD330"/>
    <w:lvl w:ilvl="0" w:tplc="767CE40C">
      <w:start w:val="1"/>
      <w:numFmt w:val="decimal"/>
      <w:lvlText w:val="%1."/>
      <w:lvlJc w:val="left"/>
      <w:pPr>
        <w:ind w:left="311" w:hanging="200"/>
      </w:pPr>
      <w:rPr>
        <w:b/>
        <w:bCs/>
        <w:w w:val="99"/>
        <w:lang w:val="en-GB" w:eastAsia="en-GB" w:bidi="en-GB"/>
      </w:rPr>
    </w:lvl>
    <w:lvl w:ilvl="1" w:tplc="1D0EF4A6">
      <w:numFmt w:val="bullet"/>
      <w:lvlText w:val="•"/>
      <w:lvlJc w:val="left"/>
      <w:pPr>
        <w:ind w:left="1820" w:hanging="200"/>
      </w:pPr>
      <w:rPr>
        <w:lang w:val="en-GB" w:eastAsia="en-GB" w:bidi="en-GB"/>
      </w:rPr>
    </w:lvl>
    <w:lvl w:ilvl="2" w:tplc="376440A2">
      <w:numFmt w:val="bullet"/>
      <w:lvlText w:val="•"/>
      <w:lvlJc w:val="left"/>
      <w:pPr>
        <w:ind w:left="2482" w:hanging="200"/>
      </w:pPr>
      <w:rPr>
        <w:lang w:val="en-GB" w:eastAsia="en-GB" w:bidi="en-GB"/>
      </w:rPr>
    </w:lvl>
    <w:lvl w:ilvl="3" w:tplc="E9A85D56">
      <w:numFmt w:val="bullet"/>
      <w:lvlText w:val="•"/>
      <w:lvlJc w:val="left"/>
      <w:pPr>
        <w:ind w:left="3145" w:hanging="200"/>
      </w:pPr>
      <w:rPr>
        <w:lang w:val="en-GB" w:eastAsia="en-GB" w:bidi="en-GB"/>
      </w:rPr>
    </w:lvl>
    <w:lvl w:ilvl="4" w:tplc="3C8E79EE">
      <w:numFmt w:val="bullet"/>
      <w:lvlText w:val="•"/>
      <w:lvlJc w:val="left"/>
      <w:pPr>
        <w:ind w:left="3807" w:hanging="200"/>
      </w:pPr>
      <w:rPr>
        <w:lang w:val="en-GB" w:eastAsia="en-GB" w:bidi="en-GB"/>
      </w:rPr>
    </w:lvl>
    <w:lvl w:ilvl="5" w:tplc="0C02F162">
      <w:numFmt w:val="bullet"/>
      <w:lvlText w:val="•"/>
      <w:lvlJc w:val="left"/>
      <w:pPr>
        <w:ind w:left="4470" w:hanging="200"/>
      </w:pPr>
      <w:rPr>
        <w:lang w:val="en-GB" w:eastAsia="en-GB" w:bidi="en-GB"/>
      </w:rPr>
    </w:lvl>
    <w:lvl w:ilvl="6" w:tplc="F7BA1DE2">
      <w:numFmt w:val="bullet"/>
      <w:lvlText w:val="•"/>
      <w:lvlJc w:val="left"/>
      <w:pPr>
        <w:ind w:left="5132" w:hanging="200"/>
      </w:pPr>
      <w:rPr>
        <w:lang w:val="en-GB" w:eastAsia="en-GB" w:bidi="en-GB"/>
      </w:rPr>
    </w:lvl>
    <w:lvl w:ilvl="7" w:tplc="F1E43686">
      <w:numFmt w:val="bullet"/>
      <w:lvlText w:val="•"/>
      <w:lvlJc w:val="left"/>
      <w:pPr>
        <w:ind w:left="5795" w:hanging="200"/>
      </w:pPr>
      <w:rPr>
        <w:lang w:val="en-GB" w:eastAsia="en-GB" w:bidi="en-GB"/>
      </w:rPr>
    </w:lvl>
    <w:lvl w:ilvl="8" w:tplc="30F0BD36">
      <w:numFmt w:val="bullet"/>
      <w:lvlText w:val="•"/>
      <w:lvlJc w:val="left"/>
      <w:pPr>
        <w:ind w:left="6457" w:hanging="200"/>
      </w:pPr>
      <w:rPr>
        <w:lang w:val="en-GB" w:eastAsia="en-GB" w:bidi="en-GB"/>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8765C"/>
    <w:rsid w:val="00003073"/>
    <w:rsid w:val="0048765C"/>
    <w:rsid w:val="00573BBF"/>
    <w:rsid w:val="00ED28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5C"/>
    <w:pPr>
      <w:widowControl w:val="0"/>
      <w:autoSpaceDE w:val="0"/>
      <w:autoSpaceDN w:val="0"/>
      <w:spacing w:after="0" w:line="240" w:lineRule="auto"/>
    </w:pPr>
    <w:rPr>
      <w:rFonts w:ascii="Calibri" w:eastAsia="Calibri" w:hAnsi="Calibri" w:cs="Calibri"/>
      <w:lang w:eastAsia="en-GB" w:bidi="en-GB"/>
    </w:rPr>
  </w:style>
  <w:style w:type="paragraph" w:styleId="Heading2">
    <w:name w:val="heading 2"/>
    <w:basedOn w:val="Normal"/>
    <w:link w:val="Heading2Char"/>
    <w:uiPriority w:val="9"/>
    <w:semiHidden/>
    <w:unhideWhenUsed/>
    <w:qFormat/>
    <w:rsid w:val="0048765C"/>
    <w:pPr>
      <w:ind w:left="31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765C"/>
    <w:rPr>
      <w:rFonts w:ascii="Calibri" w:eastAsia="Calibri" w:hAnsi="Calibri" w:cs="Calibri"/>
      <w:b/>
      <w:bCs/>
      <w:sz w:val="20"/>
      <w:szCs w:val="20"/>
      <w:lang w:eastAsia="en-GB" w:bidi="en-GB"/>
    </w:rPr>
  </w:style>
  <w:style w:type="paragraph" w:styleId="BodyText">
    <w:name w:val="Body Text"/>
    <w:basedOn w:val="Normal"/>
    <w:link w:val="BodyTextChar"/>
    <w:uiPriority w:val="1"/>
    <w:semiHidden/>
    <w:unhideWhenUsed/>
    <w:qFormat/>
    <w:rsid w:val="0048765C"/>
    <w:rPr>
      <w:sz w:val="20"/>
      <w:szCs w:val="20"/>
    </w:rPr>
  </w:style>
  <w:style w:type="character" w:customStyle="1" w:styleId="BodyTextChar">
    <w:name w:val="Body Text Char"/>
    <w:basedOn w:val="DefaultParagraphFont"/>
    <w:link w:val="BodyText"/>
    <w:uiPriority w:val="1"/>
    <w:semiHidden/>
    <w:rsid w:val="0048765C"/>
    <w:rPr>
      <w:rFonts w:ascii="Calibri" w:eastAsia="Calibri" w:hAnsi="Calibri" w:cs="Calibri"/>
      <w:sz w:val="20"/>
      <w:szCs w:val="20"/>
      <w:lang w:eastAsia="en-GB" w:bidi="en-GB"/>
    </w:rPr>
  </w:style>
</w:styles>
</file>

<file path=word/webSettings.xml><?xml version="1.0" encoding="utf-8"?>
<w:webSettings xmlns:r="http://schemas.openxmlformats.org/officeDocument/2006/relationships" xmlns:w="http://schemas.openxmlformats.org/wordprocessingml/2006/main">
  <w:divs>
    <w:div w:id="18620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679</Words>
  <Characters>3873</Characters>
  <Application>Microsoft Office Word</Application>
  <DocSecurity>0</DocSecurity>
  <Lines>32</Lines>
  <Paragraphs>9</Paragraphs>
  <ScaleCrop>false</ScaleCrop>
  <Company>HP</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White</dc:creator>
  <cp:lastModifiedBy>Angela White</cp:lastModifiedBy>
  <cp:revision>2</cp:revision>
  <dcterms:created xsi:type="dcterms:W3CDTF">2021-02-11T18:58:00Z</dcterms:created>
  <dcterms:modified xsi:type="dcterms:W3CDTF">2021-02-24T17:40:00Z</dcterms:modified>
</cp:coreProperties>
</file>